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правления КПКГ «Содействие-Ангара»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sz w:val="24"/>
          <w:szCs w:val="24"/>
        </w:rPr>
        <w:t>Протокол №  1 от «31 »января 2019 г.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szCs w:val="24"/>
        </w:rPr>
        <w:t>ПОЛОЖЕНИЕ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szCs w:val="24"/>
        </w:rPr>
        <w:t>Об обеспечении непрерывности деятельности Кредитного Потребительского Кооператива Граждан «Содействие-Ангара»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Г. Иркутск                                                                                                                              январь 2019г.</w:t>
      </w:r>
    </w:p>
    <w:p>
      <w:pPr>
        <w:pStyle w:val="style39"/>
        <w:pageBreakBefore/>
      </w:pPr>
      <w:r>
        <w:rPr>
          <w:rFonts w:ascii="Times New Roman" w:hAnsi="Times New Roman"/>
          <w:sz w:val="24"/>
          <w:szCs w:val="24"/>
        </w:rPr>
        <w:t>Оглавление</w:t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8192" w:linePitch="360" w:type="default"/>
        </w:sectPr>
      </w:pPr>
    </w:p>
    <w:p>
      <w:pPr>
        <w:pStyle w:val="style40"/>
        <w:tabs>
          <w:tab w:leader="dot" w:pos="9355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773_2107838909">
        <w:r>
          <w:rPr>
            <w:rStyle w:val="style28"/>
          </w:rPr>
          <w:t>1. Общие положения</w:t>
          <w:tab/>
          <w:t>5</w:t>
        </w:r>
      </w:hyperlink>
    </w:p>
    <w:p>
      <w:pPr>
        <w:pStyle w:val="style40"/>
        <w:tabs>
          <w:tab w:leader="dot" w:pos="9355" w:val="right"/>
        </w:tabs>
      </w:pPr>
      <w:hyperlink w:anchor="__RefHeading__775_2107838909">
        <w:r>
          <w:rPr>
            <w:rStyle w:val="style28"/>
          </w:rPr>
          <w:t>2. Определения</w:t>
          <w:tab/>
          <w:t>5</w:t>
        </w:r>
      </w:hyperlink>
    </w:p>
    <w:p>
      <w:pPr>
        <w:pStyle w:val="style40"/>
        <w:tabs>
          <w:tab w:leader="dot" w:pos="9355" w:val="right"/>
        </w:tabs>
      </w:pPr>
      <w:hyperlink w:anchor="__RefHeading__777_2107838909">
        <w:r>
          <w:rPr>
            <w:rStyle w:val="style28"/>
          </w:rPr>
          <w:t>3. Цели и задачи плана ОНиВД</w:t>
          <w:tab/>
          <w:t>5</w:t>
        </w:r>
      </w:hyperlink>
    </w:p>
    <w:p>
      <w:pPr>
        <w:pStyle w:val="style40"/>
        <w:tabs>
          <w:tab w:leader="dot" w:pos="9355" w:val="right"/>
        </w:tabs>
      </w:pPr>
      <w:hyperlink w:anchor="__RefHeading__779_2107838909">
        <w:r>
          <w:rPr>
            <w:rStyle w:val="style28"/>
          </w:rPr>
          <w:t>4. Критически важные процессы кооператива</w:t>
          <w:tab/>
          <w:t>7</w:t>
        </w:r>
      </w:hyperlink>
    </w:p>
    <w:p>
      <w:pPr>
        <w:pStyle w:val="style40"/>
        <w:tabs>
          <w:tab w:leader="dot" w:pos="9355" w:val="right"/>
        </w:tabs>
      </w:pPr>
      <w:hyperlink w:anchor="__RefHeading__781_2107838909">
        <w:r>
          <w:rPr>
            <w:rStyle w:val="style28"/>
          </w:rPr>
          <w:t xml:space="preserve">5. Перечень возможных чрезвычайных ситуаций </w:t>
          <w:tab/>
          <w:t>7</w:t>
        </w:r>
      </w:hyperlink>
    </w:p>
    <w:p>
      <w:pPr>
        <w:pStyle w:val="style40"/>
        <w:tabs>
          <w:tab w:leader="dot" w:pos="9355" w:val="right"/>
        </w:tabs>
      </w:pPr>
      <w:hyperlink w:anchor="__RefHeading__783_2107838909">
        <w:r>
          <w:rPr>
            <w:rStyle w:val="style28"/>
          </w:rPr>
          <w:t>6. Обеспечение непрерывности функционирования информационных систем</w:t>
          <w:tab/>
          <w:t>11</w:t>
        </w:r>
      </w:hyperlink>
      <w:r>
        <w:fldChar w:fldCharType="end"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/>
          <w:textDirection w:val="lrTb"/>
          <w:docGrid w:charSpace="8192" w:linePitch="360" w:type="default"/>
        </w:sectPr>
      </w:pPr>
    </w:p>
    <w:p>
      <w:pPr>
        <w:pStyle w:val="style40"/>
        <w:tabs>
          <w:tab w:leader="dot" w:pos="9355" w:val="right"/>
        </w:tabs>
      </w:pPr>
      <w:hyperlink w:anchor="__RefHeading__783_2107838909">
        <w:r>
          <w:rPr/>
        </w:r>
      </w:hyperlink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8192" w:linePitch="360" w:type="default"/>
        </w:sectPr>
      </w:pPr>
    </w:p>
    <w:p>
      <w:pPr>
        <w:pStyle w:val="style0"/>
      </w:pPr>
      <w:hyperlink w:anchor="_Toc536255240">
        <w:r>
          <w:rPr/>
        </w:r>
      </w:hyperlink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1"/>
        <w:pageBreakBefore/>
      </w:pPr>
      <w:bookmarkStart w:id="0" w:name="_Toc536255240"/>
      <w:bookmarkStart w:id="1" w:name="__RefHeading__773_2107838909"/>
      <w:bookmarkEnd w:id="1"/>
      <w:r>
        <w:rPr>
          <w:rFonts w:ascii="Times New Roman" w:hAnsi="Times New Roman"/>
          <w:sz w:val="24"/>
          <w:szCs w:val="24"/>
        </w:rPr>
        <w:t xml:space="preserve">1. </w:t>
      </w:r>
      <w:bookmarkEnd w:id="0"/>
      <w:r>
        <w:rPr/>
        <w:t>Общие положения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bookmarkStart w:id="2" w:name="P0"/>
      <w:bookmarkEnd w:id="2"/>
      <w:r>
        <w:rPr>
          <w:rFonts w:ascii="Times New Roman" w:hAnsi="Times New Roman"/>
          <w:sz w:val="24"/>
        </w:rPr>
        <w:t xml:space="preserve">1.1. Положение об обеспечении непрерывности деятельности кредитного потребительского кооператива граждан «Содействие-Ангара» разработано в целях обеспечения непрерывности деятельности и (или) восстановления деятельности кооператива в случае возникновения нестандартных и чрезвычайных ситуаций. 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1.2. Положение разработано на основании «Методических рекомендаций по обеспечению непрерывности деятельности некредитных финансовых организаций» (утв. Банком России 18.08.2016 N 28-МР) с учетом особенностей деятельности кооператива. 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1.3. Положение разработано с целью обеспечения финансовой стабильности и непрерывности деятельности кооператива при возникновении непредвиденных инцидентов, нестандартных и (или) чрезвычайных ситуаций (далее - чрезвычайные ситуации).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Положение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пределяет основные принципы и методы обеспечения непрерывности деятельности кооператива при возникновении различных нестандартных и чрезвычайных ситуаций, устанавливает задачи, порядок, способы и сроки осуществления комплекса мероприятий по предотвращению или своевременной ликвидации последствий возможного нарушения режима повседневного функционирования кооператива, вызванного нестандартной и чрезвычайной ситуацией.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1.4. Положение является частью системы внутреннего контроля, создаваемой и функционирующей на основании «Положения об организации внутреннего контроля в кооперативе». 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Организационно, обеспечение непрерывности деятельности кооператива  интегрируется в систему управления рисками определенную «Положением об управлении рисками в кооперативе».  При этом риск нарушения непрерывности деятельности кооператива поддерживается на уровне «Низкий, насколько реально возможно» с тем, чтобы издержки управления указанным риском не превышали потенциальных убытков, связанных с его наступлением.</w:t>
      </w:r>
    </w:p>
    <w:p>
      <w:pPr>
        <w:pStyle w:val="style1"/>
        <w:spacing w:after="0" w:before="0"/>
        <w:contextualSpacing w:val="false"/>
      </w:pPr>
      <w:bookmarkStart w:id="3" w:name="_Toc536255241"/>
      <w:bookmarkStart w:id="4" w:name="P23"/>
      <w:bookmarkStart w:id="5" w:name="__RefHeading__775_2107838909"/>
      <w:bookmarkEnd w:id="4"/>
      <w:bookmarkEnd w:id="5"/>
      <w:r>
        <w:rPr>
          <w:rFonts w:ascii="Times New Roman" w:hAnsi="Times New Roman"/>
          <w:sz w:val="24"/>
          <w:szCs w:val="24"/>
        </w:rPr>
        <w:t xml:space="preserve">2. </w:t>
      </w:r>
      <w:bookmarkEnd w:id="3"/>
      <w:r>
        <w:rPr/>
        <w:t>Определения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bookmarkStart w:id="6" w:name="_Toc536255242"/>
      <w:r>
        <w:rPr>
          <w:rFonts w:ascii="Times New Roman" w:hAnsi="Times New Roman"/>
          <w:sz w:val="24"/>
        </w:rPr>
        <w:t xml:space="preserve">2.1. Под </w:t>
      </w:r>
      <w:r>
        <w:rPr>
          <w:rFonts w:ascii="Times New Roman" w:hAnsi="Times New Roman"/>
          <w:b/>
          <w:i/>
          <w:sz w:val="24"/>
        </w:rPr>
        <w:t>непрерывностью деятельности</w:t>
      </w:r>
      <w:bookmarkEnd w:id="6"/>
      <w:r>
        <w:rPr>
          <w:rFonts w:ascii="Times New Roman" w:hAnsi="Times New Roman"/>
          <w:sz w:val="24"/>
        </w:rPr>
        <w:t>, обеспечиваемой в соответствии с настоящим Положением, понимается обеспечение режима повседневного функционирования внутренних критически важных процессов кооператива.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2.2. Под </w:t>
      </w:r>
      <w:r>
        <w:rPr>
          <w:rFonts w:ascii="Times New Roman" w:hAnsi="Times New Roman"/>
          <w:b/>
          <w:i/>
          <w:sz w:val="24"/>
        </w:rPr>
        <w:t>критически важными процессами</w:t>
      </w:r>
      <w:r>
        <w:rPr>
          <w:rFonts w:ascii="Times New Roman" w:hAnsi="Times New Roman"/>
          <w:sz w:val="24"/>
        </w:rPr>
        <w:t xml:space="preserve"> понимаются критически важные сферы деятельности кооператива, влияющие на его способность организовывать операции финансовой взаимопомощи и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сроки обязательства перед пайщиками. Приостановление критически важных процессов </w:t>
      </w:r>
      <w:r>
        <w:rPr>
          <w:rFonts w:ascii="Times New Roman" w:hAnsi="Times New Roman"/>
          <w:sz w:val="24"/>
        </w:rPr>
        <w:t xml:space="preserve"> нарушает сложившиеся  взаимоотношения кооператива с его пайщиками и иными контрагентами и, в свою очередь, создает угрозу непрерывности их деятельности и причинения им убытков.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естандартные и чрезвычайные ситуации (НЧС)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условия или ситуации, обусловленные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сотрудников кооператива, которые нельзя было предвидеть или избежать.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План обеспечения непрерывности деятельности и (или) восстановления деятельности кооператива в случае возникновения нестандартных и чрезвычайных ситуаций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(План ОНиВД)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мероприятий по предотвращению или своевременной ликвидации последствий возможного нарушения режима повседневного функционирования кооператива, вызванного нестандартными и чрезвычайными ситуациями (возникновением чрезвычайной ситуации или иным событием, наступление которого возможно, но труднопредсказуемо и связано с угрозой существенных материальных потерь или иных последствий, препятствующих выполнению кооперативом принятых на себя обязательств.</w:t>
      </w:r>
    </w:p>
    <w:p>
      <w:pPr>
        <w:pStyle w:val="style38"/>
        <w:spacing w:after="0" w:before="0" w:line="240" w:lineRule="atLeast"/>
        <w:ind w:firstLine="567" w:left="0" w:right="0"/>
        <w:contextualSpacing w:val="false"/>
        <w:jc w:val="both"/>
      </w:pPr>
      <w:r>
        <w:rPr/>
        <w:t>2.5.</w:t>
      </w:r>
      <w:r>
        <w:rPr>
          <w:b/>
          <w:i/>
        </w:rPr>
        <w:t xml:space="preserve"> Комплайенс (регуляторный) риск</w:t>
      </w:r>
      <w:r>
        <w:rPr/>
        <w:t xml:space="preserve"> - риск возникновения у кооператива  убытков из-за несоблюдения законодательства РФ, нормативных актов Банка России, Базовых стандартов, </w:t>
      </w:r>
      <w:r>
        <w:rPr>
          <w:sz w:val="24"/>
          <w:szCs w:val="24"/>
        </w:rPr>
        <w:t>внутренних нормативных и внутренних документов кооператива,</w:t>
      </w:r>
      <w:r>
        <w:rPr/>
        <w:t xml:space="preserve"> в т. ч. в результате применения санкций и иных мер воздействия со стороны надзорных органов.</w:t>
      </w:r>
    </w:p>
    <w:p>
      <w:pPr>
        <w:pStyle w:val="style1"/>
        <w:spacing w:after="0" w:before="0"/>
        <w:contextualSpacing w:val="false"/>
      </w:pPr>
      <w:bookmarkStart w:id="7" w:name="_Toc536255243"/>
      <w:bookmarkStart w:id="8" w:name="__RefHeading__777_2107838909"/>
      <w:bookmarkEnd w:id="7"/>
      <w:bookmarkEnd w:id="8"/>
      <w:r>
        <w:rPr/>
        <w:t>3. Цели и задачи плана ОНиВД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3.1. Мероприятия, которые должны быть выполнены в целях предотвращения и после возникновения нестандартных и чрезвычайных ситуаций, систематизируются в план обеспечения непрерывности деятельности и (или) восстановления деятельности кооператива (План ОНиВД).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Такое планирование </w:t>
      </w:r>
      <w:r>
        <w:rPr>
          <w:rFonts w:ascii="Times New Roman" w:hAnsi="Times New Roman"/>
          <w:sz w:val="24"/>
        </w:rPr>
        <w:t>обеспечения непрерывности деятельности и (или) восстановления деятельности осуществляется кооперативом в следующих целях: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3.1.1. Предотвращения наступления нестандартных и чрезвычайных ситуаций, предупреждения и предотвращения возможного нарушения режима повседневного функционирования кооператива.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3.1.2. Обеспечения безопасности и соответствующих условий труда работников кооператива, безопасности пайщиков и иных лиц, находящихся в помещениях кооператива.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3.1.3. Повышения готовности сотрудников кооператива к умелым и адекватным действиям при угрозе и возникновении опасностей, присущих чрезвычайной ситуации.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3.1.4. Снижения тяжести последствий нарушения режима повседневного функционирования кооператива (в том числе размера материальных потерь, потерь информации, потери деловой репутации).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3.1.5. Сведения к минимуму воздействия аварий на организуемую кооперативом финансовую взаимопомощь и связанные хозяйственные операции, поддержания способности кооператива выполнять принятые на себя обязательства перед пайщиками,  иными контрагентами.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3.1.6. Сохранения уровня управления кооперативом, позволяющего обеспечить условия для принятия обоснованных и оптимальных управленческих решений, их своевременную и полную реализацию.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3.1.7. Минимизации отрицательных последствий происшествий и связанных с ними угроз возникновения стратегического, репутационного, операционного, кредитного рисков, риска ликвидности и иных воспринимаемых кооперативом рисков.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3.1.8. Минимизации юридической ответственности кооператива, сохранение способности соблюдать все законодательно и нормативно установленные требования, ограничения комплайенс (регуляторных) и правовых рисков.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3.1.9. Обеспечения информационной безопасности кооператива и действующих мер охраны конфиденциальной служебной информации.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3.1.10. Организованного восстановления деятельности кооператива с соблюдением  политики приоритетов и ограничений деятельности в критических ситуациях.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3.1.11. Улучшения репутации кооператива и получения конкурентных преимуществ в случае успешного обеспечения непрерывности деятельности в чрезвычайных ситуациях.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3.2. В целях обеспечения непрерывности деятельности и (или) восстановления деятельности кооператива в случае возникновения нестандартных и чрезвычайных ситуаций решаются следующие задачи: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3.2.1. Контроль за соблюдением действующих правил сохранности и доступа к необходимой информации.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3.2.2.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беспечение работников рабочими помещениями и оборудованием,  своевременного перемещения их из помещения, где произошло чрезвычайное событие, в безопасное резервное помещение.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3.2.3.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 xml:space="preserve">беспечение персонала техническими средствами и необходимыми материалами для преодоления последствий нестандартных и чрезвычайных ситуаций.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3.2.4. О</w:t>
      </w:r>
      <w:r>
        <w:rPr>
          <w:rFonts w:ascii="Times New Roman" w:hAnsi="Times New Roman"/>
          <w:sz w:val="24"/>
        </w:rPr>
        <w:t>беспечение взаимодействия с пайщиками, иными контрагентами. Организация непрерывного выполнения кооперативом своих обязательств перед ними при наступлении чрезвычайного события.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3.2.5 Обучение и инструктаж работников мерам и навыкам технической, информационной и пожарной безопасности для профилактики возникновения непредвиденных критических обстоятельств и минимизации их негативных последствий.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3.2.6. Снижение риска гибели работников и пайщиков, уничтожения имущества кооператива в результате возникновения нестандартных и чрезвычайных ситуаций.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3.2.7. С</w:t>
      </w:r>
      <w:r>
        <w:rPr>
          <w:rFonts w:ascii="Times New Roman" w:hAnsi="Times New Roman"/>
          <w:sz w:val="24"/>
        </w:rPr>
        <w:t>нижение возможного воздействия опасных факторов, возникших вследствие возникновения непредвиденных обстоятельств (чрезвычайной ситуации).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</w:rPr>
        <w:t>окращение времени ликвидации последствий возникновения нестандартных и чрезвычайных ситуаций.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3.2.8. Разграничение полномочий и обязанностей работников кооператива в процессе ликвидации чрезвычайных ситуаций.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3.2.9. Восстановление доступа к необходимой информации.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 В целях реализации задач, определенных в п. 3.2, на случай возникновения непредвиденных и чрезвычайных ситуаций составляется план ОНиВД: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3.3.1. Определяет последовательность действий в случае возникновения чрезвычайных ситуаций и порядок осуществления деятельности кооператива  в чрезвычайном режиме.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3.3.2. Определяет порядок документирования согласованных решений, перечень процедур, выполнение которых в режиме повседневного функционирования кооператива необходимо для успешной реализации плана, очередность и сроки их выполнения.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3.3.3. Содержит перечень и приоритетный порядок осуществления процедур, применяемых в нестандартных чрезвычайных ситуациях, изложение иных способов реагирования на такие ситуации.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3.3.4. Устанавливает порядок реализации указанных процедур и способов, в результате чего кооператив сможет продолжить осуществление критически важных процессов, минимизировать возможные потери и в кратчайшие сроки восстановить свою работу в регулярном режиме.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3.3.5. Определяет документирование распределения и перераспределения обязанностей работников (инструкции) по реализации указанных процедур и способов в условиях чрезвычайного режима с учетом взаимозаменяемости работников.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3.3.6. Устанавливает порядок взаимодействия между органами управления кооператива и работниками при возникновении нестандартных и чрезвычайных ситуаций.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3.3.7. Устанавливает порядок информирования пайщиков, контрагентов, ЦБ РФ  о возникновении нестандартных и чрезвычайных ситуаций, порядок взаимодействия с ними по вопросам обеспечения непрерывности и (или) восстановления деятельности кооператива.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3.3.8. Определяет организацию и порядок осуществления обучения и инструктажа работников мерам и навыкам технической, информационной и пожарной безопасности,  устанавливает требования к минимально необходимому уровню знаний и навыков.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3.3.9.  Определяет порядок завершения работы в чрезвычайном режиме и возврата в режим повседневного функционирования.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3.4. Обеспечение непрерывности деятельности кооператива реализуется на основе следующих принципов: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3.4.1. Вовлеченности работников в процесс обеспечения непрерывности деятельности за счет их обучения, осведомленности о целях, направленных на обеспечение непрерывности деятельности кооператива.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3.4.2. Ознакомления работников с порядком обеспечения непрерывности деятельности банка и осознания важности его соблюдения.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3.4.3. Понимания работниками того, что процесс обеспечения непрерывности деятельности не является окончательным и неизменным, что он должен и будет непрерывно улучшаться и совершенствоваться в соответствии с изменяющимися внутренними и внешними обстоятельствами.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3.4.4. Участия работников в совершенствовании процесса обеспечения непрерывности деятельности кооператива.</w:t>
      </w:r>
    </w:p>
    <w:p>
      <w:pPr>
        <w:pStyle w:val="style1"/>
        <w:spacing w:after="0" w:before="0"/>
        <w:contextualSpacing w:val="false"/>
      </w:pPr>
      <w:bookmarkStart w:id="9" w:name="_Toc536255244"/>
      <w:bookmarkStart w:id="10" w:name="__RefHeading__779_2107838909"/>
      <w:bookmarkEnd w:id="9"/>
      <w:bookmarkEnd w:id="10"/>
      <w:r>
        <w:rPr/>
        <w:t>4. Критически важные процессы кооператива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4.1. Критически важными для непрерывного осуществления деятельности кооператива являются следующие процессы: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4.1.1. Дистанционное взаимодействие с пайщиками, участвующими в финансовой взаимопомощи.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4.1.2. Финансовый (бухгалтерский) учет осуществляемых кооперативом операций.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4.1.3. Формирование внутренней текущей отчетности, на основании которой принимаются управленческие решения, ежемесячных отчетов об операциях с денежными средствами и ежеквартальной отчетности в Банк России, текущий мониторинг организуемых операций финансовой взаимопомощи.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4.1.4. Направление информации и документов по запросам Банка России и иных компетентных органов в сроки, установленные законодательством, нормативными актами Банка России и (или) указанные в запросах.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4.1.6. Обеспечение информационной безопасности.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4.1.7. Управление рисками.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4.1.8. Противодействие легализации (отмыванию) доходов, полученных преступным путем и финансированию терроризма. 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4.2. В процессе осуществления деятельности кооперативом могут актуализироваться иные процессы, имеющие критически важное значение для бесперебойного функционирования.  </w:t>
      </w:r>
    </w:p>
    <w:p>
      <w:pPr>
        <w:pStyle w:val="style1"/>
        <w:spacing w:after="0" w:before="0"/>
        <w:contextualSpacing w:val="false"/>
      </w:pPr>
      <w:bookmarkStart w:id="11" w:name="_Toc536255245"/>
      <w:bookmarkStart w:id="12" w:name="__RefHeading__781_2107838909"/>
      <w:bookmarkEnd w:id="12"/>
      <w:r>
        <w:rPr/>
        <w:t>5. Перечень возможных чрезвычайных ситуаций</w:t>
      </w:r>
      <w:bookmarkEnd w:id="11"/>
      <w:r>
        <w:rPr/>
        <w:t xml:space="preserve"> 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5.1. Исходя из оценки возможного ущерба и негативных последствий для кооператива, его пайщиков и иных контрагентов, вследствие нарушения непрерывности деятельности с учетом вероятности и времени возникновения таких нарушений, кооперативом определен следующий перечень возможных нестандартных чрезвычайных ситуаций, систематизированные по источникам угроз и видам рисков прерывания деятельности: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5.1.1. Регулярные риски прерывания основной деятельности: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Переезд кооператива в другое помещение или офис</w:t>
      </w:r>
      <w:r>
        <w:rPr>
          <w:rFonts w:ascii="Times New Roman" w:hAnsi="Times New Roman"/>
          <w:sz w:val="24"/>
        </w:rPr>
        <w:t xml:space="preserve"> – является эпизодическим фактором, влияние которого минимизируется подготовительными работами.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Утрата архива</w:t>
      </w:r>
      <w:r>
        <w:rPr>
          <w:rFonts w:ascii="Times New Roman" w:hAnsi="Times New Roman"/>
          <w:sz w:val="24"/>
        </w:rPr>
        <w:t xml:space="preserve"> – является чрезвычайным фактором, который может наступить вследствие пожара, умышленной порчи оборудования и документов, уничтожения электронных версий документов из-за воздействия компьютерных вирусов, сбоев в информационных системах. Нивелируется посредством применяемых методов охраны информации, ограничения доступа в помещения хранения документов, размещения сервера, к аппаратным средствам, а также регулярным резервным копированием значимых электронных файлов.  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Ошибки, допущенные при  оформлении договорных отношений с пайщиками </w:t>
      </w:r>
      <w:r>
        <w:rPr>
          <w:rFonts w:ascii="Times New Roman" w:hAnsi="Times New Roman"/>
          <w:sz w:val="24"/>
        </w:rPr>
        <w:t xml:space="preserve">– несут угрозу наступления операционных, правовых и репутационных рисков и нивелируются на основе постоянной экспертизы и обновления договорной документации.    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Ошибки, допущенные при заключении контрактов с провайдерами внешних услуг</w:t>
      </w:r>
      <w:r>
        <w:rPr>
          <w:rFonts w:ascii="Times New Roman" w:hAnsi="Times New Roman"/>
          <w:sz w:val="24"/>
        </w:rPr>
        <w:t xml:space="preserve"> – определяют незначительные угрозы, поскольку кооператив самостоятельно обеспечивает собственные процессы, не прибегая к аутсорсингу.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Нарушения договорных обязательств сторонними лицами</w:t>
      </w:r>
      <w:r>
        <w:rPr>
          <w:rFonts w:ascii="Times New Roman" w:hAnsi="Times New Roman"/>
          <w:sz w:val="24"/>
        </w:rPr>
        <w:t xml:space="preserve"> – несут незначительный риск в силу преимущественного осуществления взаимодействия с партнерскими организациями и практическим отсутствием взаимодействия со сторонними лицами. 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Негативная информация о кооперативе в социуме </w:t>
      </w:r>
      <w:r>
        <w:rPr>
          <w:rFonts w:ascii="Times New Roman" w:hAnsi="Times New Roman"/>
          <w:sz w:val="24"/>
        </w:rPr>
        <w:t>– незначительный риск в связи с поддержкой деловой репутации среди кредитных кооперативов – пайщиков.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Несоответствие внутренних документов действующему законодательству</w:t>
      </w:r>
      <w:r>
        <w:rPr>
          <w:rFonts w:ascii="Times New Roman" w:hAnsi="Times New Roman"/>
          <w:sz w:val="24"/>
        </w:rPr>
        <w:t xml:space="preserve"> – является факторами комплайенс (регуляторного) и правового рисков, которые нивелируются соблюдением всех законодательно и нормативно установленных требований.</w:t>
      </w:r>
    </w:p>
    <w:p>
      <w:pPr>
        <w:pStyle w:val="style37"/>
        <w:numPr>
          <w:ilvl w:val="0"/>
          <w:numId w:val="1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Изменчивость и несогласованность требований Банка России и иных надзорных органов </w:t>
      </w:r>
      <w:r>
        <w:rPr>
          <w:rFonts w:ascii="Times New Roman" w:hAnsi="Times New Roman"/>
          <w:sz w:val="24"/>
        </w:rPr>
        <w:t xml:space="preserve">– так же фактор комплайенс (регуляторного) риска, минимизированный благодаря существующей регламентации надзорной деятельности.  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5.1.2. Человеческие риски: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Массовое увольнение сотрудников кооператива или их потеря в результате несчастного случая</w:t>
      </w:r>
      <w:r>
        <w:rPr>
          <w:rFonts w:ascii="Times New Roman" w:hAnsi="Times New Roman"/>
          <w:sz w:val="24"/>
        </w:rPr>
        <w:t xml:space="preserve"> – низкая вероятность, в значительной степени связанная с обстоятельствами непреодолимой силы.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Отсутствие (недостаточность) процедур планирования замещения должностей – </w:t>
      </w:r>
      <w:r>
        <w:rPr>
          <w:rFonts w:ascii="Times New Roman" w:hAnsi="Times New Roman"/>
          <w:sz w:val="24"/>
        </w:rPr>
        <w:t xml:space="preserve">неактуален для кооператива, располагающего ограниченным количеством работников. Минимизируется за счет возможности совмещения функций работниками партнерских организаций. 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Несчастный случай на рабочем месте, повлекший за собой гибель сотрудника (в том числе в результате суицида)</w:t>
      </w:r>
      <w:r>
        <w:rPr>
          <w:rFonts w:ascii="Times New Roman" w:hAnsi="Times New Roman"/>
          <w:sz w:val="24"/>
        </w:rPr>
        <w:t xml:space="preserve"> – мало актуален в связи с травмобезопасным характером деятельности и здоровым климатом в коллективе.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Некомпетентность, ошибка сотрудников кооператива</w:t>
      </w:r>
      <w:r>
        <w:rPr>
          <w:rFonts w:ascii="Times New Roman" w:hAnsi="Times New Roman"/>
          <w:sz w:val="24"/>
        </w:rPr>
        <w:t xml:space="preserve"> – фактор риска нивелируется постоянным повышением квалификации сотрудников.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Ошибки в обеспечении безопасности информационных систем, обеспечивающих деятельность кооператива</w:t>
      </w:r>
      <w:r>
        <w:rPr>
          <w:rFonts w:ascii="Times New Roman" w:hAnsi="Times New Roman"/>
          <w:sz w:val="24"/>
        </w:rPr>
        <w:t xml:space="preserve"> – фактор риска нивелируется принятой в кооперативе политикой информационной безопасности и регулярным пересмотром предусматриваемых ею методов защиты информации. 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Нарушения работниками кооператива организационных мер по обеспечению безопасности – </w:t>
      </w:r>
      <w:r>
        <w:rPr>
          <w:rFonts w:ascii="Times New Roman" w:hAnsi="Times New Roman"/>
          <w:sz w:val="24"/>
        </w:rPr>
        <w:t>фактор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риска минимизирован контролем соблюдения установленной в кооперативе трудовой и организационной дисциплины.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Выполнение вредоносных программ, использование информационных ресурсов не по назначению  </w:t>
      </w:r>
      <w:r>
        <w:rPr>
          <w:rFonts w:ascii="Times New Roman" w:hAnsi="Times New Roman"/>
          <w:sz w:val="24"/>
        </w:rPr>
        <w:t>– фактор риска нивелируется мерами противовирусной защиты</w:t>
      </w:r>
      <w:r>
        <w:rPr>
          <w:rFonts w:ascii="Times New Roman" w:hAnsi="Times New Roman"/>
          <w:b/>
          <w:i/>
          <w:sz w:val="24"/>
        </w:rPr>
        <w:t>.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Несанкционированный доступ к документам, используемым кооперативом автоматизированным системам и аппаратным средствам – </w:t>
      </w:r>
      <w:r>
        <w:rPr>
          <w:rFonts w:ascii="Times New Roman" w:hAnsi="Times New Roman"/>
          <w:sz w:val="24"/>
        </w:rPr>
        <w:t xml:space="preserve">фактор риска минимизируется соблюдением установленного в кооперативе режимом ограниченного доступа к местам хранения документов, информационным системам и аппаратным средствам.   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Кража денежных средств, из помещения кооператива или во время их транспортировки – </w:t>
      </w:r>
      <w:r>
        <w:rPr>
          <w:rFonts w:ascii="Times New Roman" w:hAnsi="Times New Roman"/>
          <w:sz w:val="24"/>
        </w:rPr>
        <w:t xml:space="preserve">фактор риска незначителен, поскольку финансовые операции проводятся кооперативом в безналичной форме.   </w:t>
      </w:r>
    </w:p>
    <w:p>
      <w:pPr>
        <w:pStyle w:val="style37"/>
        <w:numPr>
          <w:ilvl w:val="0"/>
          <w:numId w:val="2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Мошеннические действия с целью извлечения незаконных доходов</w:t>
      </w:r>
      <w:r>
        <w:rPr>
          <w:rFonts w:ascii="Times New Roman" w:hAnsi="Times New Roman"/>
          <w:sz w:val="24"/>
        </w:rPr>
        <w:t xml:space="preserve"> – фактор риска минимизирован коллегиальной системой принятия решений, предоставлением займов исключительно юридическим лицам – кредитным кооперативам пайщикам.  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5.1.3. Техногенные риски:</w:t>
      </w:r>
    </w:p>
    <w:p>
      <w:pPr>
        <w:pStyle w:val="style37"/>
        <w:numPr>
          <w:ilvl w:val="0"/>
          <w:numId w:val="3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Веерное отключение электроэнергии и (или) отказ систем электроснабжения, включая резервные источники питания</w:t>
      </w:r>
      <w:r>
        <w:rPr>
          <w:rFonts w:ascii="Times New Roman" w:hAnsi="Times New Roman"/>
          <w:sz w:val="24"/>
        </w:rPr>
        <w:t xml:space="preserve"> – риск неактуален, в силу стабильного энергоснабжения офисных помещений и наличия резервных источников питания. Риск рассматривается как гипотетический, а его последствия нивелируются режимом резервного копирования документов. </w:t>
      </w:r>
    </w:p>
    <w:p>
      <w:pPr>
        <w:pStyle w:val="style37"/>
        <w:numPr>
          <w:ilvl w:val="0"/>
          <w:numId w:val="3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Отказ функционирования средств вычислительной техники</w:t>
      </w:r>
      <w:r>
        <w:rPr>
          <w:rFonts w:ascii="Times New Roman" w:hAnsi="Times New Roman"/>
          <w:sz w:val="24"/>
        </w:rPr>
        <w:t xml:space="preserve"> – риск минимален и нивелируется регулярной профилактикой и ремонтом информационных систем и аппаратных средств.</w:t>
      </w:r>
    </w:p>
    <w:p>
      <w:pPr>
        <w:pStyle w:val="style37"/>
        <w:numPr>
          <w:ilvl w:val="0"/>
          <w:numId w:val="3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Компьютерные вирусы</w:t>
      </w:r>
      <w:r>
        <w:rPr>
          <w:rFonts w:ascii="Times New Roman" w:hAnsi="Times New Roman"/>
          <w:sz w:val="24"/>
        </w:rPr>
        <w:t xml:space="preserve"> фактор риска нивелируется мерами противовирусной защиты.</w:t>
      </w:r>
    </w:p>
    <w:p>
      <w:pPr>
        <w:pStyle w:val="style37"/>
        <w:numPr>
          <w:ilvl w:val="0"/>
          <w:numId w:val="3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Отказ функционирования информационно - коммуникационной сети «Интернет» и иных электронных коммуникационных систем</w:t>
      </w:r>
      <w:r>
        <w:rPr>
          <w:rFonts w:ascii="Times New Roman" w:hAnsi="Times New Roman"/>
          <w:sz w:val="24"/>
        </w:rPr>
        <w:t xml:space="preserve"> – риск объективен и обеспечивается выбором надежного провайдера. </w:t>
      </w:r>
    </w:p>
    <w:p>
      <w:pPr>
        <w:pStyle w:val="style37"/>
        <w:numPr>
          <w:ilvl w:val="0"/>
          <w:numId w:val="3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Аварии систем жизнеобеспечения (прорыв канализации, трубопроводов горячей и холодной воды, отказ системы кондиционирования, отопления и др.) </w:t>
      </w:r>
      <w:r>
        <w:rPr>
          <w:rFonts w:ascii="Times New Roman" w:hAnsi="Times New Roman"/>
          <w:sz w:val="24"/>
        </w:rPr>
        <w:t>– риск объективен, но поскольку помещение кооператива находится в офисном, а не в жилом здании, техногенный риск, связанный с затоплением из прорыва инженерных сетей кооператив является умеренным.</w:t>
      </w:r>
    </w:p>
    <w:p>
      <w:pPr>
        <w:pStyle w:val="style37"/>
        <w:numPr>
          <w:ilvl w:val="0"/>
          <w:numId w:val="3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Нарушения работы общественного транспорта</w:t>
      </w:r>
      <w:r>
        <w:rPr>
          <w:rFonts w:ascii="Times New Roman" w:hAnsi="Times New Roman"/>
          <w:sz w:val="24"/>
        </w:rPr>
        <w:t xml:space="preserve"> – риск минимален, поскольку работники проживают в радиусе пешеходной доступности и обеспечены личным транспортом. 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5.1.4. Природно-техногенный и природный:</w:t>
      </w:r>
    </w:p>
    <w:p>
      <w:pPr>
        <w:pStyle w:val="style37"/>
        <w:numPr>
          <w:ilvl w:val="0"/>
          <w:numId w:val="4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Пожар</w:t>
      </w:r>
      <w:r>
        <w:rPr>
          <w:rFonts w:ascii="Times New Roman" w:hAnsi="Times New Roman"/>
          <w:sz w:val="24"/>
        </w:rPr>
        <w:t xml:space="preserve"> – риск обеспечивается наличием средств пожаротушения, регулярного обучения работников мерам пожарной безопасности и спасения при пожаре. </w:t>
      </w:r>
    </w:p>
    <w:p>
      <w:pPr>
        <w:pStyle w:val="style37"/>
        <w:numPr>
          <w:ilvl w:val="0"/>
          <w:numId w:val="4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 xml:space="preserve">Экстремальные погодные условия (очень низкая или высокая температура воздуха, снежная буря, ураган) - </w:t>
      </w:r>
      <w:r>
        <w:rPr>
          <w:rFonts w:ascii="Times New Roman" w:hAnsi="Times New Roman"/>
          <w:sz w:val="24"/>
        </w:rPr>
        <w:t>Риск рассматривается как гипотетический, поскольку для  региона деятельности кооператива не характерны экстремальные погодные условия.</w:t>
      </w:r>
    </w:p>
    <w:p>
      <w:pPr>
        <w:pStyle w:val="style37"/>
        <w:numPr>
          <w:ilvl w:val="0"/>
          <w:numId w:val="4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b/>
          <w:i/>
          <w:sz w:val="24"/>
        </w:rPr>
        <w:t>Землетрясение</w:t>
      </w:r>
      <w:r>
        <w:rPr>
          <w:rFonts w:ascii="Times New Roman" w:hAnsi="Times New Roman"/>
          <w:sz w:val="24"/>
        </w:rPr>
        <w:t xml:space="preserve"> -  риск объективен, но поскольку помещение кооператива находится в офисном малоэтажном  , а не в жилом здании, техногенный риск, связанный с разрушением здания  является умеренным.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5.1.5. Финансовый:</w:t>
      </w:r>
    </w:p>
    <w:p>
      <w:pPr>
        <w:pStyle w:val="style37"/>
        <w:tabs>
          <w:tab w:leader="none" w:pos="1985" w:val="left"/>
        </w:tabs>
        <w:spacing w:after="0" w:before="0" w:line="240" w:lineRule="atLeast"/>
        <w:ind w:hanging="0" w:left="567" w:right="0"/>
        <w:contextualSpacing w:val="false"/>
        <w:jc w:val="both"/>
      </w:pPr>
      <w:r>
        <w:rPr>
          <w:rFonts w:ascii="Times New Roman" w:hAnsi="Times New Roman"/>
          <w:sz w:val="24"/>
        </w:rPr>
        <w:t>Дефицит ликвидности, в т.ч. по причине:</w:t>
      </w:r>
    </w:p>
    <w:p>
      <w:pPr>
        <w:pStyle w:val="style37"/>
        <w:numPr>
          <w:ilvl w:val="0"/>
          <w:numId w:val="5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</w:rPr>
        <w:t>Оттока средств пайщиков.</w:t>
      </w:r>
    </w:p>
    <w:p>
      <w:pPr>
        <w:pStyle w:val="style37"/>
        <w:numPr>
          <w:ilvl w:val="0"/>
          <w:numId w:val="5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Увеличения объемов просроченной проблемной задолженности.</w:t>
      </w:r>
    </w:p>
    <w:p>
      <w:pPr>
        <w:pStyle w:val="style37"/>
        <w:numPr>
          <w:ilvl w:val="0"/>
          <w:numId w:val="5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Увеличения непродуктивных издержек.</w:t>
      </w:r>
    </w:p>
    <w:p>
      <w:pPr>
        <w:pStyle w:val="style37"/>
        <w:tabs>
          <w:tab w:leader="none" w:pos="851" w:val="left"/>
        </w:tabs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Риск минимизируется применением политики резервирования, бюджетирования операционных расходов, текущего контроля качества портфеля, управления процентным, кредитным рисками и рисками избыточной концентрации средств.  </w:t>
      </w:r>
    </w:p>
    <w:p>
      <w:pPr>
        <w:pStyle w:val="style0"/>
        <w:spacing w:after="0" w:before="0" w:line="240" w:lineRule="atLeast"/>
        <w:ind w:firstLine="567" w:left="0" w:right="0"/>
        <w:contextualSpacing w:val="false"/>
        <w:jc w:val="both"/>
      </w:pPr>
      <w:r>
        <w:rPr>
          <w:rFonts w:ascii="Times New Roman" w:hAnsi="Times New Roman"/>
          <w:sz w:val="24"/>
        </w:rPr>
        <w:t>5.2. В зависимости от нанесенного ущерба, нестандартные и чрезвычайные ситуации классифицируются как приносящие: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5.2.1. Незначительный ущерб.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Ситуации, возникающие в результате нежелательных воздействий, не наносящих ощутимого ущерба, но требующие внимания и адекватной реакции (например, зафиксированные неудачные попытки проникновения или несанкционированного доступа к ресурсам системы), к непредвиденным,  не относятся. Возобновление операционной деятельности кооператива может быть осуществлено в короткое время без вызова специальных аварийных и технических служб. Ожидаемое время простоя - менее одного операционного дня. Ущерб может быть нанесен аппаратным средствам, программному обеспечению, механическому оборудованию, электрооборудованию и (или) помещению.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5.2.2. Серьезный ущерб.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Нестандартные и чрезвычайные ситуации, приводящие к выходу из строя отдельных компонентов системы обеспечения деятельности кооператива  (частичной потере работоспособности), потере производительности, а также к нарушению целостности и конфиденциальности программ и данных в результате несанкционированного доступа. При наступлении такого ущерба, аварийные и технические службы вызываются для восстановления операционной деятельности кооператива в существующем помещении. Предполагаемое время простоя - от одного до пяти операционных дней. Серьезный ущерб причиняется аппаратным средствам и (или) помещению.</w:t>
      </w:r>
    </w:p>
    <w:p>
      <w:pPr>
        <w:pStyle w:val="style0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5.2.3. Катастрофа - обширный ущерб.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Восстановление потребует более пяти операционных дней. Здание может быть полностью разрушено. При катастрофе вызываются спасательные, аварийные и технические службы и все сотрудники кооператива, чтобы начать полное выполнение плана действий в случае возникновения нестандартных и чрезвычайных ситуаций.</w:t>
      </w:r>
    </w:p>
    <w:p>
      <w:pPr>
        <w:pStyle w:val="style0"/>
        <w:spacing w:after="0" w:before="0" w:line="240" w:lineRule="atLeast"/>
        <w:ind w:firstLine="539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5.3. По степени воздействия и размерам ущерба, наносимого кооперативу, непредвиденные обстоятельства разделяются на следующие категории:</w:t>
      </w:r>
    </w:p>
    <w:p>
      <w:pPr>
        <w:pStyle w:val="style0"/>
        <w:spacing w:after="0" w:before="0" w:line="240" w:lineRule="atLeast"/>
        <w:ind w:firstLine="539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5.3.1. </w:t>
      </w:r>
      <w:r>
        <w:rPr>
          <w:rFonts w:ascii="Times New Roman" w:hAnsi="Times New Roman"/>
          <w:b/>
          <w:i/>
          <w:sz w:val="24"/>
          <w:szCs w:val="24"/>
        </w:rPr>
        <w:t>Угрожающие</w:t>
      </w:r>
      <w:r>
        <w:rPr>
          <w:rFonts w:ascii="Times New Roman" w:hAnsi="Times New Roman"/>
          <w:sz w:val="24"/>
          <w:szCs w:val="24"/>
        </w:rPr>
        <w:t xml:space="preserve"> - приводящие к неспособности кооператива полностью (частично) выполнять далее свои функции, а также к уничтожению, блокированию, неправомерной модификации или компрометации наиболее важной информации.</w:t>
      </w:r>
    </w:p>
    <w:p>
      <w:pPr>
        <w:pStyle w:val="style0"/>
        <w:spacing w:after="0" w:before="0" w:line="240" w:lineRule="atLeast"/>
        <w:ind w:firstLine="539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5.3.2.  </w:t>
      </w:r>
      <w:r>
        <w:rPr>
          <w:rFonts w:ascii="Times New Roman" w:hAnsi="Times New Roman"/>
          <w:b/>
          <w:i/>
          <w:sz w:val="24"/>
          <w:szCs w:val="24"/>
        </w:rPr>
        <w:t>Серьезные</w:t>
      </w:r>
      <w:r>
        <w:rPr>
          <w:rFonts w:ascii="Times New Roman" w:hAnsi="Times New Roman"/>
          <w:sz w:val="24"/>
          <w:szCs w:val="24"/>
        </w:rPr>
        <w:t xml:space="preserve"> - приводящие к выходу из строя отдельных компонентов системы деятельности кооператива  (частичной потере работоспособности), потере производительности, а также к нарушению целостности и конфиденциальности программ и данных в результате несанкционированного доступа.</w:t>
      </w:r>
    </w:p>
    <w:p>
      <w:pPr>
        <w:pStyle w:val="style0"/>
        <w:spacing w:after="0" w:before="0" w:line="240" w:lineRule="atLeast"/>
        <w:ind w:firstLine="539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Ситуации, возникающие в результате нежелательных воздействий, не наносящих ощутимого ущерба, но требующие внимания и адекватной реакции (например, зафиксированы  неудачные попытки проникновения или несанкционированного доступа к информационным ресурсам системы), к непредвиденным не относятся.</w:t>
      </w:r>
    </w:p>
    <w:p>
      <w:pPr>
        <w:pStyle w:val="style0"/>
        <w:spacing w:after="0" w:before="0" w:line="240" w:lineRule="atLeast"/>
        <w:ind w:firstLine="539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5.4. Ситуации, при возникновении которых не меняется порядок осуществления кооперативом своих функций: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Отключение (полное или частичное) электропитания (основного и резервного) менее чем на один час.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Нештатная работа аппаратно-программных компонентов автоматизированных рабочих мест менее двух часов.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Повреждение телефонной сети.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Повреждение оптического кабеля (отсутствие доступа в сеть Интернет, SWIFT) менее чем на два часа.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Сбой работы сервера баз данных менее чем на один час.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Сбой системного программного обеспечения менее чем на два часа.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Поломка аппаратных компонентов сервера.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Прекращение доступа внешних пользователей к интернет-сайту кооператива.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Выход из строя (сбой) автоматизированной системы (или ее модуля), разработанной сторонним разработчиком, менее чем на два часа.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Выход из строя автоматизированных прикладных модулей, собственной разработки или переданных в пользование партнерскими организациями менее чем на два часа;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Затопление в занимаемых кооперативом помещениях (незначительное, не влияющее на работу автоматизированных рабочих мест, произошедшее вне помещений, в которых находится серверное оборудование или обслуживание пайщиков), возгорание (при возможности тушения возгорания в течение пяти минут силами сотрудников кооператива);</w:t>
      </w:r>
    </w:p>
    <w:p>
      <w:pPr>
        <w:pStyle w:val="style37"/>
        <w:numPr>
          <w:ilvl w:val="0"/>
          <w:numId w:val="6"/>
        </w:numPr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Выход из строя систем безопасности (охранной сигнализации, систем контроля доступа, системы видеонаблюдения).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5.4. Анализ факторов, угрожающих нарушению непрерывности деятельности проводится регулярно, а сами факторы актуализируются по мере необходимости, но не реже одного раза в год.</w:t>
      </w:r>
    </w:p>
    <w:p>
      <w:pPr>
        <w:pStyle w:val="style1"/>
        <w:spacing w:after="0" w:before="0"/>
        <w:contextualSpacing w:val="false"/>
      </w:pPr>
      <w:bookmarkStart w:id="13" w:name="_Toc536255246"/>
      <w:bookmarkStart w:id="14" w:name="__RefHeading__783_2107838909"/>
      <w:bookmarkEnd w:id="13"/>
      <w:bookmarkEnd w:id="14"/>
      <w:r>
        <w:rPr/>
        <w:t>6. Обеспечение непрерывности функционирования информационных систем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6.1. Непрерывное функционирование кооператива обеспечивается и поддерживается применением следующих информационных систем:</w:t>
      </w:r>
    </w:p>
    <w:p>
      <w:pPr>
        <w:pStyle w:val="style37"/>
        <w:numPr>
          <w:ilvl w:val="0"/>
          <w:numId w:val="7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БухРост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обеспечения информационной безопасности включает в себя следующие элементы (но не ограничивается ими):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Политика информационной безопасности.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Инвентаризация и классификация информационных ресурсов с точки зрения безопасности.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и обучение персонала, проверка при приеме на работу, ответственность персонала за соблюдение режима информационной безопасности, предоставление обязательств о неразглашении конфиденциальной служебной информации;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физической безопасности информационных систем и аппаратных средств.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от вредоносного программного обеспечения.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Резервное копирование данных.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электронного обмена данными.</w:t>
      </w:r>
    </w:p>
    <w:p>
      <w:pPr>
        <w:pStyle w:val="style37"/>
        <w:numPr>
          <w:ilvl w:val="0"/>
          <w:numId w:val="8"/>
        </w:numPr>
        <w:tabs>
          <w:tab w:leader="none" w:pos="567" w:val="left"/>
        </w:tabs>
        <w:spacing w:after="0" w:before="0" w:line="240" w:lineRule="atLeast"/>
        <w:ind w:hanging="360" w:left="-142" w:right="0"/>
        <w:contextualSpacing w:val="false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доступа к информационным системам.</w:t>
      </w:r>
    </w:p>
    <w:p>
      <w:pPr>
        <w:pStyle w:val="style0"/>
        <w:spacing w:after="0" w:before="0" w:line="240" w:lineRule="atLeast"/>
        <w:ind w:firstLine="540" w:left="0" w:right="0"/>
        <w:contextualSpacing w:val="false"/>
        <w:jc w:val="both"/>
      </w:pPr>
      <w:r>
        <w:rPr>
          <w:rFonts w:ascii="Times New Roman" w:hAnsi="Times New Roman"/>
          <w:sz w:val="24"/>
        </w:rPr>
        <w:t>6.3. Политика информационной безопасности устанавливает режимы:</w:t>
      </w:r>
    </w:p>
    <w:p>
      <w:pPr>
        <w:pStyle w:val="style37"/>
        <w:numPr>
          <w:ilvl w:val="0"/>
          <w:numId w:val="9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</w:rPr>
        <w:t>Постоянного осуществления мероприятий по защите информационных систем от противоправных действий.</w:t>
      </w:r>
    </w:p>
    <w:p>
      <w:pPr>
        <w:pStyle w:val="style37"/>
        <w:numPr>
          <w:ilvl w:val="0"/>
          <w:numId w:val="9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</w:rPr>
        <w:t>Постоянного мониторинга текущего состояния информационных систем и их программно-технических средств.</w:t>
      </w:r>
    </w:p>
    <w:p>
      <w:pPr>
        <w:pStyle w:val="style37"/>
        <w:numPr>
          <w:ilvl w:val="0"/>
          <w:numId w:val="9"/>
        </w:numPr>
        <w:tabs>
          <w:tab w:leader="none" w:pos="851" w:val="left"/>
        </w:tabs>
        <w:spacing w:after="0" w:before="0" w:line="240" w:lineRule="atLeast"/>
        <w:ind w:hanging="360" w:left="0" w:right="0"/>
        <w:contextualSpacing w:val="false"/>
        <w:jc w:val="both"/>
      </w:pPr>
      <w:r>
        <w:rPr>
          <w:rFonts w:ascii="Times New Roman" w:hAnsi="Times New Roman"/>
          <w:sz w:val="24"/>
        </w:rPr>
        <w:t>Своевременного применения мер по устранению выявленных недостатков.</w:t>
      </w:r>
    </w:p>
    <w:p>
      <w:pPr>
        <w:pStyle w:val="style0"/>
        <w:spacing w:after="0" w:before="0" w:line="240" w:lineRule="atLeast"/>
        <w:contextualSpacing/>
        <w:jc w:val="right"/>
      </w:pPr>
      <w:r>
        <w:rPr/>
      </w:r>
    </w:p>
    <w:sectPr>
      <w:type w:val="continuous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12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hanging="360" w:left="1259"/>
      </w:pPr>
    </w:lvl>
    <w:lvl w:ilvl="1">
      <w:start w:val="1"/>
      <w:numFmt w:val="lowerLetter"/>
      <w:lvlText w:val="%2."/>
      <w:lvlJc w:val="left"/>
      <w:pPr>
        <w:ind w:hanging="360" w:left="1979"/>
      </w:pPr>
    </w:lvl>
    <w:lvl w:ilvl="2">
      <w:start w:val="1"/>
      <w:numFmt w:val="lowerRoman"/>
      <w:lvlText w:val="%3."/>
      <w:lvlJc w:val="right"/>
      <w:pPr>
        <w:ind w:hanging="180" w:left="2699"/>
      </w:pPr>
    </w:lvl>
    <w:lvl w:ilvl="3">
      <w:start w:val="1"/>
      <w:numFmt w:val="decimal"/>
      <w:lvlText w:val="%4."/>
      <w:lvlJc w:val="left"/>
      <w:pPr>
        <w:ind w:hanging="360" w:left="3419"/>
      </w:pPr>
    </w:lvl>
    <w:lvl w:ilvl="4">
      <w:start w:val="1"/>
      <w:numFmt w:val="lowerLetter"/>
      <w:lvlText w:val="%5."/>
      <w:lvlJc w:val="left"/>
      <w:pPr>
        <w:ind w:hanging="360" w:left="4139"/>
      </w:pPr>
    </w:lvl>
    <w:lvl w:ilvl="5">
      <w:start w:val="1"/>
      <w:numFmt w:val="lowerRoman"/>
      <w:lvlText w:val="%6."/>
      <w:lvlJc w:val="right"/>
      <w:pPr>
        <w:ind w:hanging="180" w:left="4859"/>
      </w:pPr>
    </w:lvl>
    <w:lvl w:ilvl="6">
      <w:start w:val="1"/>
      <w:numFmt w:val="decimal"/>
      <w:lvlText w:val="%7."/>
      <w:lvlJc w:val="left"/>
      <w:pPr>
        <w:ind w:hanging="360" w:left="5579"/>
      </w:pPr>
    </w:lvl>
    <w:lvl w:ilvl="7">
      <w:start w:val="1"/>
      <w:numFmt w:val="lowerLetter"/>
      <w:lvlText w:val="%8."/>
      <w:lvlJc w:val="left"/>
      <w:pPr>
        <w:ind w:hanging="360" w:left="6299"/>
      </w:pPr>
    </w:lvl>
    <w:lvl w:ilvl="8">
      <w:start w:val="1"/>
      <w:numFmt w:val="lowerRoman"/>
      <w:lvlText w:val="%9."/>
      <w:lvlJc w:val="right"/>
      <w:pPr>
        <w:ind w:hanging="180" w:left="7019"/>
      </w:pPr>
    </w:lvl>
  </w:abstractNum>
  <w:abstractNum w:abstractNumId="7">
    <w:lvl w:ilvl="0">
      <w:start w:val="1"/>
      <w:numFmt w:val="lowerLetter"/>
      <w:lvlText w:val="%1)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8">
    <w:lvl w:ilvl="0">
      <w:start w:val="1"/>
      <w:numFmt w:val="lowerLetter"/>
      <w:lvlText w:val="%1)"/>
      <w:lvlJc w:val="left"/>
      <w:pPr>
        <w:ind w:hanging="360" w:left="1259"/>
      </w:pPr>
    </w:lvl>
    <w:lvl w:ilvl="1">
      <w:start w:val="1"/>
      <w:numFmt w:val="lowerLetter"/>
      <w:lvlText w:val="%2."/>
      <w:lvlJc w:val="left"/>
      <w:pPr>
        <w:ind w:hanging="360" w:left="1979"/>
      </w:pPr>
    </w:lvl>
    <w:lvl w:ilvl="2">
      <w:start w:val="1"/>
      <w:numFmt w:val="lowerRoman"/>
      <w:lvlText w:val="%3."/>
      <w:lvlJc w:val="right"/>
      <w:pPr>
        <w:ind w:hanging="180" w:left="2699"/>
      </w:pPr>
    </w:lvl>
    <w:lvl w:ilvl="3">
      <w:start w:val="1"/>
      <w:numFmt w:val="decimal"/>
      <w:lvlText w:val="%4."/>
      <w:lvlJc w:val="left"/>
      <w:pPr>
        <w:ind w:hanging="360" w:left="3419"/>
      </w:pPr>
    </w:lvl>
    <w:lvl w:ilvl="4">
      <w:start w:val="1"/>
      <w:numFmt w:val="lowerLetter"/>
      <w:lvlText w:val="%5."/>
      <w:lvlJc w:val="left"/>
      <w:pPr>
        <w:ind w:hanging="360" w:left="4139"/>
      </w:pPr>
    </w:lvl>
    <w:lvl w:ilvl="5">
      <w:start w:val="1"/>
      <w:numFmt w:val="lowerRoman"/>
      <w:lvlText w:val="%6."/>
      <w:lvlJc w:val="right"/>
      <w:pPr>
        <w:ind w:hanging="180" w:left="4859"/>
      </w:pPr>
    </w:lvl>
    <w:lvl w:ilvl="6">
      <w:start w:val="1"/>
      <w:numFmt w:val="decimal"/>
      <w:lvlText w:val="%7."/>
      <w:lvlJc w:val="left"/>
      <w:pPr>
        <w:ind w:hanging="360" w:left="5579"/>
      </w:pPr>
    </w:lvl>
    <w:lvl w:ilvl="7">
      <w:start w:val="1"/>
      <w:numFmt w:val="lowerLetter"/>
      <w:lvlText w:val="%8."/>
      <w:lvlJc w:val="left"/>
      <w:pPr>
        <w:ind w:hanging="360" w:left="6299"/>
      </w:pPr>
    </w:lvl>
    <w:lvl w:ilvl="8">
      <w:start w:val="1"/>
      <w:numFmt w:val="lowerRoman"/>
      <w:lvlText w:val="%9."/>
      <w:lvlJc w:val="right"/>
      <w:pPr>
        <w:ind w:hanging="180" w:left="7019"/>
      </w:pPr>
    </w:lvl>
  </w:abstractNum>
  <w:abstractNum w:abstractNumId="9">
    <w:lvl w:ilvl="0">
      <w:start w:val="1"/>
      <w:numFmt w:val="lowerLetter"/>
      <w:lvlText w:val="%1)"/>
      <w:lvlJc w:val="left"/>
      <w:pPr>
        <w:ind w:hanging="360" w:left="1331"/>
      </w:pPr>
    </w:lvl>
    <w:lvl w:ilvl="1">
      <w:start w:val="1"/>
      <w:numFmt w:val="lowerLetter"/>
      <w:lvlText w:val="%2."/>
      <w:lvlJc w:val="left"/>
      <w:pPr>
        <w:ind w:hanging="360" w:left="2051"/>
      </w:pPr>
    </w:lvl>
    <w:lvl w:ilvl="2">
      <w:start w:val="1"/>
      <w:numFmt w:val="lowerRoman"/>
      <w:lvlText w:val="%3."/>
      <w:lvlJc w:val="right"/>
      <w:pPr>
        <w:ind w:hanging="180" w:left="2771"/>
      </w:pPr>
    </w:lvl>
    <w:lvl w:ilvl="3">
      <w:start w:val="1"/>
      <w:numFmt w:val="decimal"/>
      <w:lvlText w:val="%4."/>
      <w:lvlJc w:val="left"/>
      <w:pPr>
        <w:ind w:hanging="360" w:left="3491"/>
      </w:pPr>
    </w:lvl>
    <w:lvl w:ilvl="4">
      <w:start w:val="1"/>
      <w:numFmt w:val="lowerLetter"/>
      <w:lvlText w:val="%5."/>
      <w:lvlJc w:val="left"/>
      <w:pPr>
        <w:ind w:hanging="360" w:left="4211"/>
      </w:pPr>
    </w:lvl>
    <w:lvl w:ilvl="5">
      <w:start w:val="1"/>
      <w:numFmt w:val="lowerRoman"/>
      <w:lvlText w:val="%6."/>
      <w:lvlJc w:val="right"/>
      <w:pPr>
        <w:ind w:hanging="180" w:left="4931"/>
      </w:pPr>
    </w:lvl>
    <w:lvl w:ilvl="6">
      <w:start w:val="1"/>
      <w:numFmt w:val="decimal"/>
      <w:lvlText w:val="%7."/>
      <w:lvlJc w:val="left"/>
      <w:pPr>
        <w:ind w:hanging="360" w:left="5651"/>
      </w:pPr>
    </w:lvl>
    <w:lvl w:ilvl="7">
      <w:start w:val="1"/>
      <w:numFmt w:val="lowerLetter"/>
      <w:lvlText w:val="%8."/>
      <w:lvlJc w:val="left"/>
      <w:pPr>
        <w:ind w:hanging="360" w:left="6371"/>
      </w:pPr>
    </w:lvl>
    <w:lvl w:ilvl="8">
      <w:start w:val="1"/>
      <w:numFmt w:val="lowerRoman"/>
      <w:lvlText w:val="%9."/>
      <w:lvlJc w:val="right"/>
      <w:pPr>
        <w:ind w:hanging="180" w:left="7091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hd w:fill="A6A6A6" w:val="clear"/>
      <w:spacing w:after="1" w:before="0" w:line="240" w:lineRule="atLeast"/>
      <w:contextualSpacing w:val="false"/>
      <w:jc w:val="center"/>
    </w:pPr>
    <w:rPr>
      <w:rFonts w:ascii="Verdana" w:hAnsi="Verdana"/>
      <w:color w:val="FFFFFF"/>
      <w:sz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Verdana" w:eastAsia="Calibri" w:hAnsi="Verdana"/>
      <w:color w:val="FFFFFF"/>
      <w:sz w:val="24"/>
      <w:szCs w:val="22"/>
      <w:shd w:fill="A6A6A6" w:val="clear"/>
      <w:lang w:eastAsia="en-US"/>
    </w:rPr>
  </w:style>
  <w:style w:styleId="style17" w:type="character">
    <w:name w:val="Текст сноски Знак"/>
    <w:basedOn w:val="style15"/>
    <w:next w:val="style17"/>
    <w:rPr>
      <w:rFonts w:ascii="Calibri" w:eastAsia="Calibri" w:hAnsi="Calibri"/>
      <w:lang w:eastAsia="en-US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Текст выноски Знак"/>
    <w:basedOn w:val="style15"/>
    <w:next w:val="style20"/>
    <w:rPr>
      <w:rFonts w:ascii="Tahoma" w:cs="Tahoma" w:eastAsia="Calibri" w:hAnsi="Tahoma"/>
      <w:sz w:val="16"/>
      <w:szCs w:val="16"/>
      <w:lang w:eastAsia="en-US"/>
    </w:rPr>
  </w:style>
  <w:style w:styleId="style21" w:type="character">
    <w:name w:val="ListLabel 1"/>
    <w:next w:val="style21"/>
    <w:rPr>
      <w:rFonts w:cs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Привязка сноски"/>
    <w:next w:val="style23"/>
    <w:rPr>
      <w:vertAlign w:val="superscript"/>
    </w:rPr>
  </w:style>
  <w:style w:styleId="style24" w:type="character">
    <w:name w:val="Привязка концевой сноски"/>
    <w:next w:val="style24"/>
    <w:rPr>
      <w:vertAlign w:val="superscript"/>
    </w:rPr>
  </w:style>
  <w:style w:styleId="style25" w:type="character">
    <w:name w:val="ListLabel 3"/>
    <w:next w:val="style25"/>
    <w:rPr>
      <w:rFonts w:cs="Symbol"/>
    </w:rPr>
  </w:style>
  <w:style w:styleId="style26" w:type="character">
    <w:name w:val="ListLabel 4"/>
    <w:next w:val="style26"/>
    <w:rPr>
      <w:rFonts w:cs="Courier New"/>
    </w:rPr>
  </w:style>
  <w:style w:styleId="style27" w:type="character">
    <w:name w:val="ListLabel 5"/>
    <w:next w:val="style27"/>
    <w:rPr>
      <w:rFonts w:cs="Wingdings"/>
    </w:rPr>
  </w:style>
  <w:style w:styleId="style28" w:type="character">
    <w:name w:val="Ссылка указателя"/>
    <w:next w:val="style28"/>
    <w:rPr/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Заглавие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index heading"/>
    <w:basedOn w:val="style0"/>
    <w:next w:val="style35"/>
    <w:pPr>
      <w:suppressLineNumbers/>
    </w:pPr>
    <w:rPr>
      <w:rFonts w:cs="Mangal"/>
    </w:rPr>
  </w:style>
  <w:style w:styleId="style36" w:type="paragraph">
    <w:name w:val="footnote text"/>
    <w:basedOn w:val="style0"/>
    <w:next w:val="style36"/>
    <w:pPr>
      <w:spacing w:after="0" w:before="0" w:line="100" w:lineRule="atLeast"/>
      <w:contextualSpacing w:val="false"/>
    </w:pPr>
    <w:rPr>
      <w:sz w:val="20"/>
      <w:szCs w:val="20"/>
    </w:rPr>
  </w:style>
  <w:style w:styleId="style37" w:type="paragraph">
    <w:name w:val="List Paragraph"/>
    <w:basedOn w:val="style0"/>
    <w:next w:val="style37"/>
    <w:pPr>
      <w:spacing w:after="200" w:before="0"/>
      <w:ind w:hanging="0" w:left="720" w:right="0"/>
      <w:contextualSpacing/>
    </w:pPr>
    <w:rPr/>
  </w:style>
  <w:style w:styleId="style38" w:type="paragraph">
    <w:name w:val="ConsPlusNormal"/>
    <w:next w:val="style38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39" w:type="paragraph">
    <w:name w:val="Заголовок оглавления"/>
    <w:basedOn w:val="style1"/>
    <w:next w:val="style39"/>
    <w:pPr>
      <w:keepNext/>
      <w:keepLines/>
      <w:shd w:fill="FFFFFF" w:val="clear"/>
      <w:spacing w:after="0" w:before="480" w:line="276" w:lineRule="auto"/>
      <w:contextualSpacing w:val="false"/>
      <w:jc w:val="left"/>
    </w:pPr>
    <w:rPr>
      <w:rFonts w:ascii="Cambria" w:hAnsi="Cambria"/>
      <w:b/>
      <w:bCs/>
      <w:color w:val="365F91"/>
      <w:sz w:val="28"/>
      <w:szCs w:val="28"/>
    </w:rPr>
  </w:style>
  <w:style w:styleId="style40" w:type="paragraph">
    <w:name w:val="Оглавление 1"/>
    <w:basedOn w:val="style0"/>
    <w:next w:val="style40"/>
    <w:pPr>
      <w:spacing w:after="100" w:before="0"/>
      <w:contextualSpacing w:val="false"/>
    </w:pPr>
    <w:rPr/>
  </w:style>
  <w:style w:styleId="style41" w:type="paragraph">
    <w:name w:val="Balloon Text"/>
    <w:basedOn w:val="style0"/>
    <w:next w:val="style4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2" w:type="paragraph">
    <w:name w:val="Сноска"/>
    <w:basedOn w:val="style0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2019-01-31T01:04:00.00Z</dcterms:created>
  <dc:creator>Marat</dc:creator>
  <cp:lastModifiedBy>Анна</cp:lastModifiedBy>
  <dcterms:modified xsi:type="dcterms:W3CDTF">2019-05-09T13:51:00.00Z</dcterms:modified>
  <cp:revision>4</cp:revision>
</cp:coreProperties>
</file>